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5DECB" w14:textId="21065E78" w:rsidR="006E403D" w:rsidRPr="004702A8" w:rsidRDefault="007173F8">
      <w:pPr>
        <w:rPr>
          <w:b/>
          <w:bCs/>
          <w:u w:val="single"/>
        </w:rPr>
      </w:pPr>
      <w:r>
        <w:rPr>
          <w:b/>
          <w:bCs/>
          <w:u w:val="single"/>
        </w:rPr>
        <w:t>Q</w:t>
      </w:r>
      <w:r w:rsidR="00D07E59">
        <w:rPr>
          <w:b/>
          <w:bCs/>
          <w:u w:val="single"/>
        </w:rPr>
        <w:t>1</w:t>
      </w:r>
      <w:r>
        <w:rPr>
          <w:b/>
          <w:bCs/>
          <w:u w:val="single"/>
        </w:rPr>
        <w:t>-2</w:t>
      </w:r>
      <w:r w:rsidR="00D07E59">
        <w:rPr>
          <w:b/>
          <w:bCs/>
          <w:u w:val="single"/>
        </w:rPr>
        <w:t>2</w:t>
      </w:r>
      <w:r>
        <w:rPr>
          <w:b/>
          <w:bCs/>
          <w:u w:val="single"/>
        </w:rPr>
        <w:t xml:space="preserve"> </w:t>
      </w:r>
      <w:r w:rsidR="004702A8" w:rsidRPr="004702A8">
        <w:rPr>
          <w:b/>
          <w:bCs/>
          <w:u w:val="single"/>
        </w:rPr>
        <w:t xml:space="preserve">Issues </w:t>
      </w:r>
      <w:r w:rsidR="004F08F5">
        <w:rPr>
          <w:b/>
          <w:bCs/>
          <w:u w:val="single"/>
        </w:rPr>
        <w:t>Impacting the</w:t>
      </w:r>
      <w:r w:rsidR="004702A8" w:rsidRPr="004702A8">
        <w:rPr>
          <w:b/>
          <w:bCs/>
          <w:u w:val="single"/>
        </w:rPr>
        <w:t xml:space="preserve"> Trucking Industry</w:t>
      </w:r>
    </w:p>
    <w:p w14:paraId="5AC0A9A7" w14:textId="29893F8B" w:rsidR="001A629B" w:rsidRDefault="001A629B">
      <w:pPr>
        <w:rPr>
          <w:b/>
          <w:bCs/>
        </w:rPr>
      </w:pPr>
      <w:r>
        <w:rPr>
          <w:b/>
          <w:bCs/>
        </w:rPr>
        <w:t>Labor and Unionization</w:t>
      </w:r>
    </w:p>
    <w:p w14:paraId="6AF99698" w14:textId="1A7F5580" w:rsidR="0069015D" w:rsidRPr="0069015D" w:rsidRDefault="000C4CE7" w:rsidP="0069015D">
      <w:pPr>
        <w:pStyle w:val="ListParagraph"/>
        <w:numPr>
          <w:ilvl w:val="0"/>
          <w:numId w:val="10"/>
        </w:numPr>
        <w:rPr>
          <w:b/>
          <w:bCs/>
        </w:rPr>
      </w:pPr>
      <w:r w:rsidRPr="0069015D">
        <w:rPr>
          <w:rFonts w:cstheme="minorHAnsi"/>
          <w:shd w:val="clear" w:color="auto" w:fill="FFFFFF"/>
        </w:rPr>
        <w:t>H.R. 842, </w:t>
      </w:r>
      <w:hyperlink r:id="rId5" w:history="1">
        <w:r w:rsidRPr="0069015D">
          <w:rPr>
            <w:rStyle w:val="Hyperlink"/>
            <w:rFonts w:cstheme="minorHAnsi"/>
            <w:color w:val="auto"/>
            <w:u w:val="none"/>
            <w:shd w:val="clear" w:color="auto" w:fill="FFFFFF"/>
          </w:rPr>
          <w:t>the Protecting the Right to Organize (PRO) Act</w:t>
        </w:r>
      </w:hyperlink>
      <w:r w:rsidRPr="0069015D">
        <w:rPr>
          <w:rFonts w:cstheme="minorHAnsi"/>
        </w:rPr>
        <w:t>, the federal version of California’s AB 5 bill, has stalled as it was attached to the Biden Build Back Better plan</w:t>
      </w:r>
      <w:r w:rsidRPr="0069015D">
        <w:rPr>
          <w:rFonts w:cstheme="minorHAnsi"/>
          <w:shd w:val="clear" w:color="auto" w:fill="FFFFFF"/>
        </w:rPr>
        <w:t xml:space="preserve">.  </w:t>
      </w:r>
      <w:r w:rsidR="000857FE" w:rsidRPr="0069015D">
        <w:rPr>
          <w:rFonts w:cstheme="minorHAnsi"/>
          <w:shd w:val="clear" w:color="auto" w:fill="FFFFFF"/>
        </w:rPr>
        <w:t>California Assemblywoman Lorena Gonzolez, the author of California’s independent contractor legislation known as AB-5, has resigned to work for the California Labor Federation</w:t>
      </w:r>
      <w:r w:rsidR="002663AA" w:rsidRPr="0069015D">
        <w:rPr>
          <w:rFonts w:cstheme="minorHAnsi"/>
          <w:shd w:val="clear" w:color="auto" w:fill="FFFFFF"/>
        </w:rPr>
        <w:t>.</w:t>
      </w:r>
      <w:r w:rsidR="002663AA">
        <w:rPr>
          <w:rFonts w:cstheme="minorHAnsi"/>
          <w:shd w:val="clear" w:color="auto" w:fill="FFFFFF"/>
        </w:rPr>
        <w:t xml:space="preserve"> </w:t>
      </w:r>
      <w:r w:rsidR="0069015D">
        <w:rPr>
          <w:rFonts w:cstheme="minorHAnsi"/>
          <w:shd w:val="clear" w:color="auto" w:fill="FFFFFF"/>
        </w:rPr>
        <w:t>The fate of independent truck drive</w:t>
      </w:r>
      <w:r w:rsidR="008123A9">
        <w:rPr>
          <w:rFonts w:cstheme="minorHAnsi"/>
          <w:shd w:val="clear" w:color="auto" w:fill="FFFFFF"/>
        </w:rPr>
        <w:t>r</w:t>
      </w:r>
      <w:r w:rsidR="0069015D">
        <w:rPr>
          <w:rFonts w:cstheme="minorHAnsi"/>
          <w:shd w:val="clear" w:color="auto" w:fill="FFFFFF"/>
        </w:rPr>
        <w:t xml:space="preserve">s in California waits on Prelogar’s </w:t>
      </w:r>
      <w:r w:rsidR="0069015D" w:rsidRPr="00A05C97">
        <w:rPr>
          <w:rFonts w:cstheme="minorHAnsi"/>
          <w:shd w:val="clear" w:color="auto" w:fill="FFFFFF"/>
        </w:rPr>
        <w:t>office</w:t>
      </w:r>
      <w:r w:rsidR="00A05C97" w:rsidRPr="00A05C97">
        <w:rPr>
          <w:rFonts w:cstheme="minorHAnsi"/>
          <w:shd w:val="clear" w:color="auto" w:fill="FFFFFF"/>
        </w:rPr>
        <w:t xml:space="preserve"> (Solicitor General of the United States)</w:t>
      </w:r>
      <w:r w:rsidR="0069015D" w:rsidRPr="00A05C97">
        <w:rPr>
          <w:rFonts w:cstheme="minorHAnsi"/>
          <w:shd w:val="clear" w:color="auto" w:fill="FFFFFF"/>
        </w:rPr>
        <w:t xml:space="preserve"> </w:t>
      </w:r>
      <w:r w:rsidR="0069015D">
        <w:rPr>
          <w:rFonts w:cstheme="minorHAnsi"/>
          <w:shd w:val="clear" w:color="auto" w:fill="FFFFFF"/>
        </w:rPr>
        <w:t>opinion submittal to the Supreme Court.</w:t>
      </w:r>
    </w:p>
    <w:p w14:paraId="7F3C74DA" w14:textId="2C3961D5" w:rsidR="004702A8" w:rsidRPr="004702A8" w:rsidRDefault="004702A8">
      <w:pPr>
        <w:rPr>
          <w:b/>
          <w:bCs/>
        </w:rPr>
      </w:pPr>
      <w:r w:rsidRPr="004702A8">
        <w:rPr>
          <w:b/>
          <w:bCs/>
        </w:rPr>
        <w:t>Emissions and EV</w:t>
      </w:r>
    </w:p>
    <w:p w14:paraId="0EA44D36" w14:textId="37E3203E" w:rsidR="00377CCB" w:rsidRDefault="00EA7EB0" w:rsidP="00377CCB">
      <w:pPr>
        <w:pStyle w:val="ListParagraph"/>
        <w:numPr>
          <w:ilvl w:val="0"/>
          <w:numId w:val="1"/>
        </w:numPr>
      </w:pPr>
      <w:r>
        <w:t xml:space="preserve">Following </w:t>
      </w:r>
      <w:r w:rsidR="00187707">
        <w:t>President Biden’s EO direct</w:t>
      </w:r>
      <w:r>
        <w:t xml:space="preserve">ing the </w:t>
      </w:r>
      <w:r w:rsidR="00187707">
        <w:t>EPA and NHTSA to establish multipollutant standards for heavy duty vehicles beginning model year 2027</w:t>
      </w:r>
      <w:r>
        <w:t>, t</w:t>
      </w:r>
      <w:r w:rsidR="00C70CD2">
        <w:t xml:space="preserve">he EPA </w:t>
      </w:r>
      <w:r>
        <w:t xml:space="preserve">issued a </w:t>
      </w:r>
      <w:r w:rsidR="00237017">
        <w:t>NPRM</w:t>
      </w:r>
      <w:r w:rsidR="004911E2">
        <w:t xml:space="preserve"> (new proposed </w:t>
      </w:r>
      <w:r w:rsidR="007651B8">
        <w:t>rulemaking</w:t>
      </w:r>
      <w:r w:rsidR="004911E2">
        <w:t>)</w:t>
      </w:r>
      <w:r w:rsidR="00237017">
        <w:t xml:space="preserve"> for Heavy Duty Vehicle NOx</w:t>
      </w:r>
      <w:r>
        <w:t xml:space="preserve"> that </w:t>
      </w:r>
      <w:r w:rsidR="00237017">
        <w:t>has two option</w:t>
      </w:r>
      <w:r w:rsidR="00DB103F">
        <w:t>s</w:t>
      </w:r>
      <w:r w:rsidR="00237017">
        <w:t xml:space="preserve"> and an alternative to consider</w:t>
      </w:r>
      <w:r w:rsidR="002663AA">
        <w:t xml:space="preserve">. </w:t>
      </w:r>
      <w:r w:rsidR="00237017">
        <w:t xml:space="preserve">Option </w:t>
      </w:r>
      <w:r w:rsidR="00796E59">
        <w:t>1</w:t>
      </w:r>
      <w:r w:rsidR="00E81A97">
        <w:t>, which is closest to the CARB</w:t>
      </w:r>
      <w:r>
        <w:t xml:space="preserve"> omnibus standards</w:t>
      </w:r>
      <w:r w:rsidR="00DB103F">
        <w:t>,</w:t>
      </w:r>
      <w:r>
        <w:t xml:space="preserve"> would be a </w:t>
      </w:r>
      <w:r w:rsidR="00377CCB">
        <w:t>two-phase</w:t>
      </w:r>
      <w:r>
        <w:t xml:space="preserve"> approach allowing 35 </w:t>
      </w:r>
      <w:bookmarkStart w:id="0" w:name="_Hlk101360743"/>
      <w:r>
        <w:t>mg/hp-hr</w:t>
      </w:r>
      <w:r w:rsidR="00065AC1">
        <w:t xml:space="preserve"> NOx emissions starting in model year 2027</w:t>
      </w:r>
      <w:bookmarkEnd w:id="0"/>
      <w:r w:rsidR="00065AC1">
        <w:t xml:space="preserve"> and reducing NOx to 20 mg in 2031 model year. The NOx emissions would have a tier increase throughout the useful life </w:t>
      </w:r>
      <w:r w:rsidR="00DB103F">
        <w:t xml:space="preserve">of </w:t>
      </w:r>
      <w:r w:rsidR="00065AC1">
        <w:t>up to 40 mg at 800,000 miles</w:t>
      </w:r>
      <w:r w:rsidR="002663AA">
        <w:t xml:space="preserve">. </w:t>
      </w:r>
      <w:r w:rsidR="00377CCB">
        <w:t xml:space="preserve">Useful life is defined at 600,000 miles or 11 years for model year </w:t>
      </w:r>
      <w:r w:rsidR="0025088A">
        <w:t>2027 and</w:t>
      </w:r>
      <w:r w:rsidR="00377CCB">
        <w:t xml:space="preserve"> increases to 800,000 miles or 12 years in model year 2031</w:t>
      </w:r>
      <w:r w:rsidR="002663AA">
        <w:t xml:space="preserve">. </w:t>
      </w:r>
      <w:r w:rsidR="00377CCB">
        <w:t>Warranty for emissions componentry is defined at 450,000 miles or 22,000 hours or 7 years for model year 2027 and increases to 600,000 miles or 30,000 hours or 10 years in 2031</w:t>
      </w:r>
      <w:r w:rsidR="002663AA">
        <w:t xml:space="preserve">. </w:t>
      </w:r>
      <w:r w:rsidR="00156D7A">
        <w:t>There is also a low load cycle set at 90 mg for model year 2027 with goals for 50 mg at intermediate useful life and 100 mg at full useful life</w:t>
      </w:r>
      <w:r w:rsidR="002663AA">
        <w:t xml:space="preserve">. </w:t>
      </w:r>
      <w:r w:rsidR="00156D7A">
        <w:t xml:space="preserve">Option 2 is a </w:t>
      </w:r>
      <w:r w:rsidR="006103BD">
        <w:t>single-phase</w:t>
      </w:r>
      <w:r w:rsidR="00156D7A">
        <w:t xml:space="preserve"> approach and would require 50 </w:t>
      </w:r>
      <w:r w:rsidR="006103BD">
        <w:t>mg/hp-hr NOx emissions starting in model year 2027. Useful life would be at 650,000 miles or 10 years and warranty would be at 350,000 miles or 5 years for model year 2027</w:t>
      </w:r>
      <w:r w:rsidR="002663AA">
        <w:t xml:space="preserve">. </w:t>
      </w:r>
      <w:r w:rsidR="006103BD">
        <w:t xml:space="preserve">Low load cycling would be set at 100 </w:t>
      </w:r>
      <w:r w:rsidR="002663AA">
        <w:t xml:space="preserve">mg. </w:t>
      </w:r>
      <w:r w:rsidR="006103BD">
        <w:t xml:space="preserve">The alternative is an aggressive approach that requires </w:t>
      </w:r>
      <w:r w:rsidR="00691AA2">
        <w:t>20 mg/hp-hr NOx emissions starting in 2027</w:t>
      </w:r>
      <w:r w:rsidR="002663AA">
        <w:t xml:space="preserve">. </w:t>
      </w:r>
      <w:r w:rsidR="00691AA2">
        <w:t xml:space="preserve">However, the details are not completed to fully support the alternative. Additionally, the industry </w:t>
      </w:r>
      <w:r w:rsidR="0041362D">
        <w:t>does not</w:t>
      </w:r>
      <w:r w:rsidR="00691AA2">
        <w:t xml:space="preserve"> have technology that would allow that goal to be achieved for 2027.</w:t>
      </w:r>
    </w:p>
    <w:p w14:paraId="0A9C4E84" w14:textId="711DB669" w:rsidR="006103BD" w:rsidRDefault="006103BD" w:rsidP="00377CCB">
      <w:pPr>
        <w:pStyle w:val="ListParagraph"/>
        <w:numPr>
          <w:ilvl w:val="0"/>
          <w:numId w:val="1"/>
        </w:numPr>
      </w:pPr>
      <w:r>
        <w:t>CARB</w:t>
      </w:r>
      <w:r w:rsidR="00691AA2">
        <w:t xml:space="preserve"> has made a statement noting they would prefer the EPA NPRM to harmonize with the CA standards</w:t>
      </w:r>
      <w:r w:rsidR="002663AA">
        <w:t xml:space="preserve">. </w:t>
      </w:r>
      <w:r w:rsidR="00DB103F">
        <w:t>I</w:t>
      </w:r>
      <w:r w:rsidR="00691AA2">
        <w:t>f forced to choose</w:t>
      </w:r>
      <w:r w:rsidR="00DB103F">
        <w:t>,</w:t>
      </w:r>
      <w:r w:rsidR="005D614C">
        <w:t xml:space="preserve"> then Option 1 would be best as it would provide 121,000 tons benefit in NOx reduction in 2045 than Option 2</w:t>
      </w:r>
      <w:r w:rsidR="002663AA">
        <w:t xml:space="preserve">. </w:t>
      </w:r>
      <w:r w:rsidR="005D614C">
        <w:t>CARB is also concerned that ZEV credits, if ZEV are adopted at higher than anticipated rates, could be misused to allow more</w:t>
      </w:r>
      <w:r w:rsidR="00D1785D">
        <w:t xml:space="preserve"> poor performing diesel engines into the market.</w:t>
      </w:r>
    </w:p>
    <w:p w14:paraId="21A5D873" w14:textId="06F81A73" w:rsidR="00D1785D" w:rsidRDefault="00D1785D" w:rsidP="00377CCB">
      <w:pPr>
        <w:pStyle w:val="ListParagraph"/>
        <w:numPr>
          <w:ilvl w:val="0"/>
          <w:numId w:val="1"/>
        </w:numPr>
      </w:pPr>
      <w:r>
        <w:t>MEMA’s Heavy Duty Emissions and Fuel Efficiency group is working on a draft response to EPA regarding the NPRM.</w:t>
      </w:r>
    </w:p>
    <w:p w14:paraId="41B095A0" w14:textId="70BD7114" w:rsidR="00871049" w:rsidRPr="00FD1128" w:rsidRDefault="00871049" w:rsidP="00871049">
      <w:pPr>
        <w:rPr>
          <w:b/>
          <w:bCs/>
        </w:rPr>
      </w:pPr>
      <w:r w:rsidRPr="00FD1128">
        <w:rPr>
          <w:b/>
          <w:bCs/>
        </w:rPr>
        <w:t>Bipartisan Infrastructure Bill</w:t>
      </w:r>
    </w:p>
    <w:p w14:paraId="0B715F75" w14:textId="40372801" w:rsidR="00FA1DB8" w:rsidRPr="004E1EFC" w:rsidRDefault="004E1EFC" w:rsidP="005F446D">
      <w:pPr>
        <w:pStyle w:val="ListParagraph"/>
        <w:numPr>
          <w:ilvl w:val="0"/>
          <w:numId w:val="9"/>
        </w:numPr>
        <w:rPr>
          <w:rFonts w:cstheme="minorHAnsi"/>
        </w:rPr>
      </w:pPr>
      <w:r w:rsidRPr="004E1EFC">
        <w:rPr>
          <w:rFonts w:cstheme="minorHAnsi"/>
        </w:rPr>
        <w:t>Section 23011 of H.R. 3684 Infrastructure Investment and Jo</w:t>
      </w:r>
      <w:r w:rsidR="004911E2">
        <w:rPr>
          <w:rFonts w:cstheme="minorHAnsi"/>
        </w:rPr>
        <w:t>b</w:t>
      </w:r>
      <w:r w:rsidRPr="004E1EFC">
        <w:rPr>
          <w:rFonts w:cstheme="minorHAnsi"/>
        </w:rPr>
        <w:t>s Act calls on the Secretary of Transportation to form an advisory committee aimed at better understanding and setting direction for Side Underride Guarding</w:t>
      </w:r>
      <w:r w:rsidR="002663AA" w:rsidRPr="004E1EFC">
        <w:rPr>
          <w:rFonts w:cstheme="minorHAnsi"/>
        </w:rPr>
        <w:t xml:space="preserve">. </w:t>
      </w:r>
      <w:r w:rsidR="00BE24DA">
        <w:rPr>
          <w:rFonts w:cstheme="minorHAnsi"/>
        </w:rPr>
        <w:t xml:space="preserve">In an effort to get Hendrickson on the advisory committee, a letter of request has been sent to </w:t>
      </w:r>
      <w:r w:rsidR="008A0CA6">
        <w:rPr>
          <w:rFonts w:cstheme="minorHAnsi"/>
          <w:color w:val="333333"/>
        </w:rPr>
        <w:t>NHTSA’s Deputy</w:t>
      </w:r>
      <w:r w:rsidR="00BE24DA">
        <w:rPr>
          <w:rFonts w:cstheme="minorHAnsi"/>
          <w:color w:val="333333"/>
        </w:rPr>
        <w:t xml:space="preserve"> Associate Administrator</w:t>
      </w:r>
      <w:r w:rsidR="0025088A">
        <w:rPr>
          <w:rFonts w:cstheme="minorHAnsi"/>
          <w:color w:val="333333"/>
        </w:rPr>
        <w:t xml:space="preserve">. </w:t>
      </w:r>
      <w:r w:rsidR="008A0CA6">
        <w:rPr>
          <w:rFonts w:cstheme="minorHAnsi"/>
          <w:color w:val="333333"/>
        </w:rPr>
        <w:t>Additionally,</w:t>
      </w:r>
      <w:r w:rsidR="00BE24DA">
        <w:rPr>
          <w:rFonts w:cstheme="minorHAnsi"/>
          <w:color w:val="333333"/>
        </w:rPr>
        <w:t xml:space="preserve"> the same request has been sent to the Directo</w:t>
      </w:r>
      <w:r w:rsidR="004911E2">
        <w:rPr>
          <w:rFonts w:cstheme="minorHAnsi"/>
          <w:color w:val="333333"/>
        </w:rPr>
        <w:t>r</w:t>
      </w:r>
      <w:r w:rsidR="00BE24DA">
        <w:rPr>
          <w:rFonts w:cstheme="minorHAnsi"/>
          <w:color w:val="333333"/>
        </w:rPr>
        <w:t>, Office of Crashworthiness Standards</w:t>
      </w:r>
      <w:r w:rsidR="002663AA">
        <w:rPr>
          <w:rFonts w:cstheme="minorHAnsi"/>
          <w:color w:val="333333"/>
        </w:rPr>
        <w:t xml:space="preserve">. </w:t>
      </w:r>
      <w:r w:rsidR="00BE24DA">
        <w:rPr>
          <w:rFonts w:cstheme="minorHAnsi"/>
          <w:color w:val="333333"/>
        </w:rPr>
        <w:t xml:space="preserve">The letter outlines </w:t>
      </w:r>
      <w:r w:rsidR="0092606D">
        <w:rPr>
          <w:rFonts w:cstheme="minorHAnsi"/>
          <w:color w:val="333333"/>
        </w:rPr>
        <w:t xml:space="preserve">Hendrickson’s qualifications and desire to be part of the advisory </w:t>
      </w:r>
      <w:r w:rsidR="0092606D">
        <w:rPr>
          <w:rFonts w:cstheme="minorHAnsi"/>
          <w:color w:val="333333"/>
        </w:rPr>
        <w:lastRenderedPageBreak/>
        <w:t>committee</w:t>
      </w:r>
      <w:r w:rsidR="002663AA">
        <w:rPr>
          <w:rFonts w:cstheme="minorHAnsi"/>
          <w:color w:val="333333"/>
        </w:rPr>
        <w:t xml:space="preserve">. </w:t>
      </w:r>
      <w:r w:rsidR="0092606D">
        <w:rPr>
          <w:rFonts w:cstheme="minorHAnsi"/>
          <w:color w:val="333333"/>
        </w:rPr>
        <w:t>Recent actions by Congressman Cohen (TN-09-D) and Senator Gillibrand (NY-D)</w:t>
      </w:r>
      <w:r w:rsidR="00DB103F">
        <w:rPr>
          <w:rFonts w:cstheme="minorHAnsi"/>
          <w:color w:val="333333"/>
        </w:rPr>
        <w:t>,</w:t>
      </w:r>
      <w:r w:rsidR="009550DA">
        <w:rPr>
          <w:rFonts w:cstheme="minorHAnsi"/>
          <w:color w:val="333333"/>
        </w:rPr>
        <w:t xml:space="preserve"> along with 25 of their colleagues</w:t>
      </w:r>
      <w:r w:rsidR="00DB103F">
        <w:rPr>
          <w:rFonts w:cstheme="minorHAnsi"/>
          <w:color w:val="333333"/>
        </w:rPr>
        <w:t>,</w:t>
      </w:r>
      <w:r w:rsidR="009550DA">
        <w:rPr>
          <w:rFonts w:cstheme="minorHAnsi"/>
          <w:color w:val="333333"/>
        </w:rPr>
        <w:t xml:space="preserve"> issued a letter to Secretary Buttigieg to execute provisions from their STOP Underrides Act</w:t>
      </w:r>
      <w:r w:rsidR="0025088A">
        <w:rPr>
          <w:rFonts w:cstheme="minorHAnsi"/>
          <w:color w:val="333333"/>
        </w:rPr>
        <w:t xml:space="preserve">. </w:t>
      </w:r>
      <w:r w:rsidR="00AC0C13">
        <w:rPr>
          <w:rFonts w:cstheme="minorHAnsi"/>
          <w:color w:val="333333"/>
        </w:rPr>
        <w:t>In the letter</w:t>
      </w:r>
      <w:r w:rsidR="00DB103F">
        <w:rPr>
          <w:rFonts w:cstheme="minorHAnsi"/>
          <w:color w:val="333333"/>
        </w:rPr>
        <w:t>,</w:t>
      </w:r>
      <w:r w:rsidR="00AC0C13">
        <w:rPr>
          <w:rFonts w:cstheme="minorHAnsi"/>
          <w:color w:val="333333"/>
        </w:rPr>
        <w:t xml:space="preserve"> they urge the use of a nomination </w:t>
      </w:r>
      <w:r w:rsidR="008A0CA6">
        <w:rPr>
          <w:rFonts w:cstheme="minorHAnsi"/>
          <w:color w:val="333333"/>
        </w:rPr>
        <w:t xml:space="preserve">procedure </w:t>
      </w:r>
      <w:r w:rsidR="0025088A">
        <w:rPr>
          <w:rFonts w:cstheme="minorHAnsi"/>
          <w:color w:val="333333"/>
        </w:rPr>
        <w:t>like</w:t>
      </w:r>
      <w:r w:rsidR="00AC0C13">
        <w:rPr>
          <w:rFonts w:cstheme="minorHAnsi"/>
          <w:color w:val="333333"/>
        </w:rPr>
        <w:t xml:space="preserve"> that used for the FMCSA Motor Carrier Safety Advisory Committee process</w:t>
      </w:r>
      <w:r w:rsidR="00CA238F">
        <w:rPr>
          <w:rFonts w:cstheme="minorHAnsi"/>
          <w:color w:val="333333"/>
        </w:rPr>
        <w:t xml:space="preserve">. </w:t>
      </w:r>
      <w:r w:rsidR="00AC0C13">
        <w:rPr>
          <w:rFonts w:cstheme="minorHAnsi"/>
          <w:color w:val="333333"/>
        </w:rPr>
        <w:t xml:space="preserve">This allows the agency to solicit </w:t>
      </w:r>
      <w:r w:rsidR="00CA238F">
        <w:rPr>
          <w:rFonts w:cstheme="minorHAnsi"/>
          <w:color w:val="333333"/>
        </w:rPr>
        <w:t>nominations and</w:t>
      </w:r>
      <w:r w:rsidR="00AC0C13">
        <w:rPr>
          <w:rFonts w:cstheme="minorHAnsi"/>
          <w:color w:val="333333"/>
        </w:rPr>
        <w:t xml:space="preserve"> allows individuals to self-nominate. Senator Duckworth </w:t>
      </w:r>
      <w:r w:rsidR="00623022">
        <w:rPr>
          <w:rFonts w:cstheme="minorHAnsi"/>
          <w:color w:val="333333"/>
        </w:rPr>
        <w:t>(IL-D) was a signatory on the letter</w:t>
      </w:r>
      <w:r w:rsidR="00E877FE">
        <w:rPr>
          <w:rFonts w:cstheme="minorHAnsi"/>
          <w:color w:val="333333"/>
        </w:rPr>
        <w:t>, and contact will be made with her office to request their support of our participation on the Advisory Committee.</w:t>
      </w:r>
    </w:p>
    <w:p w14:paraId="3B325F79" w14:textId="321B71F7" w:rsidR="00D07E59" w:rsidRPr="00FD1128" w:rsidRDefault="009A52D2" w:rsidP="00D07E59">
      <w:pPr>
        <w:rPr>
          <w:b/>
          <w:bCs/>
        </w:rPr>
      </w:pPr>
      <w:bookmarkStart w:id="1" w:name="_Hlk100127583"/>
      <w:r>
        <w:rPr>
          <w:b/>
          <w:bCs/>
        </w:rPr>
        <w:t>Franchise Warranty Reimbursement</w:t>
      </w:r>
    </w:p>
    <w:p w14:paraId="16856F83" w14:textId="64353BAE" w:rsidR="00D07E59" w:rsidRPr="00FA1DB8" w:rsidRDefault="00422373" w:rsidP="00D07E59">
      <w:pPr>
        <w:pStyle w:val="ListParagraph"/>
        <w:numPr>
          <w:ilvl w:val="0"/>
          <w:numId w:val="9"/>
        </w:numPr>
        <w:rPr>
          <w:rFonts w:cstheme="minorHAnsi"/>
        </w:rPr>
      </w:pPr>
      <w:r>
        <w:rPr>
          <w:rFonts w:cstheme="minorHAnsi"/>
        </w:rPr>
        <w:t>June 30</w:t>
      </w:r>
      <w:r w:rsidRPr="00422373">
        <w:rPr>
          <w:rFonts w:cstheme="minorHAnsi"/>
          <w:vertAlign w:val="superscript"/>
        </w:rPr>
        <w:t>th</w:t>
      </w:r>
      <w:r w:rsidR="002663AA">
        <w:rPr>
          <w:rFonts w:cstheme="minorHAnsi"/>
        </w:rPr>
        <w:t>, 2021,</w:t>
      </w:r>
      <w:r>
        <w:rPr>
          <w:rFonts w:cstheme="minorHAnsi"/>
        </w:rPr>
        <w:t xml:space="preserve"> </w:t>
      </w:r>
      <w:r w:rsidR="009A52D2">
        <w:rPr>
          <w:rFonts w:cstheme="minorHAnsi"/>
        </w:rPr>
        <w:t xml:space="preserve">Illinois </w:t>
      </w:r>
      <w:r>
        <w:rPr>
          <w:rFonts w:cstheme="minorHAnsi"/>
        </w:rPr>
        <w:t xml:space="preserve">enacted HB 3940 Vehicle Franchise Warranty Pay </w:t>
      </w:r>
      <w:r w:rsidR="009A52D2">
        <w:rPr>
          <w:rFonts w:cstheme="minorHAnsi"/>
        </w:rPr>
        <w:t>bill</w:t>
      </w:r>
      <w:r w:rsidR="002663AA">
        <w:rPr>
          <w:rFonts w:cstheme="minorHAnsi"/>
        </w:rPr>
        <w:t xml:space="preserve">. </w:t>
      </w:r>
      <w:r>
        <w:rPr>
          <w:rFonts w:cstheme="minorHAnsi"/>
        </w:rPr>
        <w:t>In short, this bill describes the responsibilities of the manufacturer to the distributor</w:t>
      </w:r>
      <w:r w:rsidR="002663AA">
        <w:rPr>
          <w:rFonts w:cstheme="minorHAnsi"/>
        </w:rPr>
        <w:t xml:space="preserve">. </w:t>
      </w:r>
      <w:r>
        <w:rPr>
          <w:rFonts w:cstheme="minorHAnsi"/>
        </w:rPr>
        <w:t xml:space="preserve">The bill calls out for standard </w:t>
      </w:r>
      <w:r w:rsidR="009A21F4">
        <w:rPr>
          <w:rFonts w:cstheme="minorHAnsi"/>
        </w:rPr>
        <w:t>requirements but</w:t>
      </w:r>
      <w:r>
        <w:rPr>
          <w:rFonts w:cstheme="minorHAnsi"/>
        </w:rPr>
        <w:t xml:space="preserve"> </w:t>
      </w:r>
      <w:r w:rsidR="00DB103F">
        <w:rPr>
          <w:rFonts w:cstheme="minorHAnsi"/>
        </w:rPr>
        <w:t>also</w:t>
      </w:r>
      <w:r>
        <w:rPr>
          <w:rFonts w:cstheme="minorHAnsi"/>
        </w:rPr>
        <w:t xml:space="preserve"> add</w:t>
      </w:r>
      <w:r w:rsidR="00DB103F">
        <w:rPr>
          <w:rFonts w:cstheme="minorHAnsi"/>
        </w:rPr>
        <w:t>s</w:t>
      </w:r>
      <w:r>
        <w:rPr>
          <w:rFonts w:cstheme="minorHAnsi"/>
        </w:rPr>
        <w:t xml:space="preserve"> an element related to compensation for warranty </w:t>
      </w:r>
      <w:r w:rsidR="00B76E79">
        <w:rPr>
          <w:rFonts w:cstheme="minorHAnsi"/>
        </w:rPr>
        <w:t>work</w:t>
      </w:r>
      <w:r w:rsidR="002663AA">
        <w:rPr>
          <w:rFonts w:cstheme="minorHAnsi"/>
        </w:rPr>
        <w:t xml:space="preserve">. </w:t>
      </w:r>
      <w:r w:rsidR="00B76E79">
        <w:rPr>
          <w:rFonts w:cstheme="minorHAnsi"/>
        </w:rPr>
        <w:t>The area of difference to most other states similar legislation is the compensation for diagnostic work</w:t>
      </w:r>
      <w:r w:rsidR="002663AA">
        <w:rPr>
          <w:rFonts w:cstheme="minorHAnsi"/>
        </w:rPr>
        <w:t xml:space="preserve">. </w:t>
      </w:r>
      <w:r w:rsidR="00B76E79">
        <w:rPr>
          <w:rFonts w:cstheme="minorHAnsi"/>
        </w:rPr>
        <w:t xml:space="preserve">Although most of the similar bills require compensation for diagnostic work, The Illinois </w:t>
      </w:r>
      <w:r w:rsidR="00DB103F">
        <w:rPr>
          <w:rFonts w:cstheme="minorHAnsi"/>
        </w:rPr>
        <w:t>B</w:t>
      </w:r>
      <w:r w:rsidR="00B76E79">
        <w:rPr>
          <w:rFonts w:cstheme="minorHAnsi"/>
        </w:rPr>
        <w:t>ill requires compensation for time spent on the phone if contact to the manufacturer technical support is required, including hold time.</w:t>
      </w:r>
    </w:p>
    <w:p w14:paraId="6C34BDF8" w14:textId="242250BE" w:rsidR="009A52D2" w:rsidRPr="009A21F4" w:rsidRDefault="00F841A0" w:rsidP="00D07E59">
      <w:pPr>
        <w:pStyle w:val="ListParagraph"/>
        <w:numPr>
          <w:ilvl w:val="0"/>
          <w:numId w:val="9"/>
        </w:numPr>
        <w:rPr>
          <w:rFonts w:cstheme="minorHAnsi"/>
        </w:rPr>
      </w:pPr>
      <w:r>
        <w:rPr>
          <w:rFonts w:cstheme="minorHAnsi"/>
          <w:color w:val="222222"/>
          <w:shd w:val="clear" w:color="auto" w:fill="FFFFFF"/>
        </w:rPr>
        <w:t xml:space="preserve">A search for similar legislation </w:t>
      </w:r>
      <w:r w:rsidR="004911E2">
        <w:rPr>
          <w:rFonts w:cstheme="minorHAnsi"/>
          <w:color w:val="222222"/>
          <w:shd w:val="clear" w:color="auto" w:fill="FFFFFF"/>
        </w:rPr>
        <w:t>revealed</w:t>
      </w:r>
      <w:r>
        <w:rPr>
          <w:rFonts w:cstheme="minorHAnsi"/>
          <w:color w:val="222222"/>
          <w:shd w:val="clear" w:color="auto" w:fill="FFFFFF"/>
        </w:rPr>
        <w:t xml:space="preserve"> 10 other states that have released or are reviewing work that will impact manufacturer to franchise requirements. Although </w:t>
      </w:r>
      <w:r w:rsidR="00C55297">
        <w:rPr>
          <w:rFonts w:cstheme="minorHAnsi"/>
          <w:color w:val="222222"/>
          <w:shd w:val="clear" w:color="auto" w:fill="FFFFFF"/>
        </w:rPr>
        <w:t>most of</w:t>
      </w:r>
      <w:r>
        <w:rPr>
          <w:rFonts w:cstheme="minorHAnsi"/>
          <w:color w:val="222222"/>
          <w:shd w:val="clear" w:color="auto" w:fill="FFFFFF"/>
        </w:rPr>
        <w:t xml:space="preserve"> the bills require reasonable payment for warranty work, including diagnostics, none of the bills specifically call out phone time to seek technical assistance</w:t>
      </w:r>
      <w:r w:rsidR="002663AA">
        <w:rPr>
          <w:rFonts w:cstheme="minorHAnsi"/>
          <w:color w:val="222222"/>
          <w:shd w:val="clear" w:color="auto" w:fill="FFFFFF"/>
        </w:rPr>
        <w:t xml:space="preserve">. </w:t>
      </w:r>
      <w:r w:rsidR="00C55297">
        <w:rPr>
          <w:rFonts w:cstheme="minorHAnsi"/>
          <w:color w:val="222222"/>
          <w:shd w:val="clear" w:color="auto" w:fill="FFFFFF"/>
        </w:rPr>
        <w:t xml:space="preserve">That said, with the Illinois bill enacted, you could expect that will be challenged in other states. </w:t>
      </w:r>
    </w:p>
    <w:p w14:paraId="1B30D2F9" w14:textId="43015189" w:rsidR="00281733" w:rsidRPr="00FB6A41" w:rsidRDefault="009A21F4" w:rsidP="00E42DF9">
      <w:pPr>
        <w:pStyle w:val="ListParagraph"/>
        <w:numPr>
          <w:ilvl w:val="0"/>
          <w:numId w:val="9"/>
        </w:numPr>
        <w:rPr>
          <w:rFonts w:cstheme="minorHAnsi"/>
        </w:rPr>
      </w:pPr>
      <w:r w:rsidRPr="00FB6A41">
        <w:rPr>
          <w:rFonts w:cstheme="minorHAnsi"/>
          <w:color w:val="222222"/>
          <w:shd w:val="clear" w:color="auto" w:fill="FFFFFF"/>
        </w:rPr>
        <w:t>The W&amp;C and HAUX documentation for dealer sign up is being reviewed for specifics related to warranty reimbursement</w:t>
      </w:r>
      <w:r w:rsidR="00281733" w:rsidRPr="00FB6A41">
        <w:rPr>
          <w:rFonts w:cstheme="minorHAnsi"/>
          <w:color w:val="222222"/>
          <w:shd w:val="clear" w:color="auto" w:fill="FFFFFF"/>
        </w:rPr>
        <w:t>, along with the Hendrickson Terms &amp; Conditions for conducting business</w:t>
      </w:r>
      <w:r w:rsidR="002663AA" w:rsidRPr="00FB6A41">
        <w:rPr>
          <w:rFonts w:cstheme="minorHAnsi"/>
          <w:color w:val="222222"/>
          <w:shd w:val="clear" w:color="auto" w:fill="FFFFFF"/>
        </w:rPr>
        <w:t xml:space="preserve">. </w:t>
      </w:r>
      <w:r w:rsidRPr="00FB6A41">
        <w:rPr>
          <w:rFonts w:cstheme="minorHAnsi"/>
          <w:color w:val="222222"/>
          <w:shd w:val="clear" w:color="auto" w:fill="FFFFFF"/>
        </w:rPr>
        <w:t>Additionally, enacted legislation for Ohio and Texas will be reviewed for such requirements.</w:t>
      </w:r>
      <w:r w:rsidR="00D07E59" w:rsidRPr="00FB6A41">
        <w:rPr>
          <w:rFonts w:cstheme="minorHAnsi"/>
          <w:color w:val="222222"/>
          <w:shd w:val="clear" w:color="auto" w:fill="FFFFFF"/>
        </w:rPr>
        <w:t> </w:t>
      </w:r>
    </w:p>
    <w:bookmarkEnd w:id="1"/>
    <w:p w14:paraId="7C3E4D15" w14:textId="762770C0" w:rsidR="009A52D2" w:rsidRPr="00FD1128" w:rsidRDefault="00933AB4" w:rsidP="009A52D2">
      <w:pPr>
        <w:rPr>
          <w:b/>
          <w:bCs/>
        </w:rPr>
      </w:pPr>
      <w:r>
        <w:rPr>
          <w:b/>
          <w:bCs/>
        </w:rPr>
        <w:t xml:space="preserve">2022 Mid-term Election </w:t>
      </w:r>
      <w:r w:rsidR="009A52D2">
        <w:rPr>
          <w:b/>
          <w:bCs/>
        </w:rPr>
        <w:t>Political Landscape</w:t>
      </w:r>
    </w:p>
    <w:p w14:paraId="51CA9FE4" w14:textId="1C685BDA" w:rsidR="009A52D2" w:rsidRPr="00865D89" w:rsidRDefault="00757050" w:rsidP="009A52D2">
      <w:pPr>
        <w:pStyle w:val="ListParagraph"/>
        <w:numPr>
          <w:ilvl w:val="0"/>
          <w:numId w:val="9"/>
        </w:numPr>
        <w:rPr>
          <w:rFonts w:cstheme="minorHAnsi"/>
        </w:rPr>
      </w:pPr>
      <w:r w:rsidRPr="00757050">
        <w:rPr>
          <w:rFonts w:cstheme="minorHAnsi"/>
          <w:color w:val="333333"/>
          <w:shd w:val="clear" w:color="auto" w:fill="FFFFFF"/>
        </w:rPr>
        <w:t>There are 35 U.S. Senate seats up for election in 2022—14 seats held by Democrats and 21 held by Republicans</w:t>
      </w:r>
      <w:r w:rsidR="0025088A" w:rsidRPr="00757050">
        <w:rPr>
          <w:rFonts w:cstheme="minorHAnsi"/>
          <w:color w:val="333333"/>
          <w:shd w:val="clear" w:color="auto" w:fill="FFFFFF"/>
        </w:rPr>
        <w:t>.</w:t>
      </w:r>
      <w:r w:rsidR="0025088A">
        <w:rPr>
          <w:rFonts w:cstheme="minorHAnsi"/>
          <w:color w:val="333333"/>
          <w:shd w:val="clear" w:color="auto" w:fill="FFFFFF"/>
        </w:rPr>
        <w:t xml:space="preserve"> </w:t>
      </w:r>
      <w:r w:rsidR="00C17213">
        <w:rPr>
          <w:rFonts w:cstheme="minorHAnsi"/>
          <w:color w:val="333333"/>
          <w:shd w:val="clear" w:color="auto" w:fill="FFFFFF"/>
        </w:rPr>
        <w:t xml:space="preserve">The current Senate is evenly split </w:t>
      </w:r>
      <w:r w:rsidR="00843F4E">
        <w:rPr>
          <w:rFonts w:cstheme="minorHAnsi"/>
          <w:color w:val="333333"/>
          <w:shd w:val="clear" w:color="auto" w:fill="FFFFFF"/>
        </w:rPr>
        <w:t xml:space="preserve">50 Republicans and 50 Democrats (2 Independents </w:t>
      </w:r>
      <w:r w:rsidR="00DF5F9F">
        <w:rPr>
          <w:rFonts w:cstheme="minorHAnsi"/>
          <w:color w:val="333333"/>
          <w:shd w:val="clear" w:color="auto" w:fill="FFFFFF"/>
        </w:rPr>
        <w:t>caucus</w:t>
      </w:r>
      <w:r w:rsidR="00843F4E">
        <w:rPr>
          <w:rFonts w:cstheme="minorHAnsi"/>
          <w:color w:val="333333"/>
          <w:shd w:val="clear" w:color="auto" w:fill="FFFFFF"/>
        </w:rPr>
        <w:t xml:space="preserve"> with the Democrats)</w:t>
      </w:r>
      <w:r w:rsidR="002663AA">
        <w:rPr>
          <w:rFonts w:cstheme="minorHAnsi"/>
          <w:color w:val="333333"/>
          <w:shd w:val="clear" w:color="auto" w:fill="FFFFFF"/>
        </w:rPr>
        <w:t>.</w:t>
      </w:r>
      <w:r w:rsidR="002663AA" w:rsidRPr="00757050">
        <w:rPr>
          <w:rFonts w:cstheme="minorHAnsi"/>
          <w:color w:val="222222"/>
          <w:shd w:val="clear" w:color="auto" w:fill="FFFFFF"/>
        </w:rPr>
        <w:t xml:space="preserve"> </w:t>
      </w:r>
      <w:r w:rsidRPr="00757050">
        <w:rPr>
          <w:rFonts w:cstheme="minorHAnsi"/>
          <w:color w:val="222222"/>
          <w:shd w:val="clear" w:color="auto" w:fill="FFFFFF"/>
        </w:rPr>
        <w:t xml:space="preserve">5 </w:t>
      </w:r>
      <w:r>
        <w:rPr>
          <w:rFonts w:cstheme="minorHAnsi"/>
          <w:color w:val="222222"/>
          <w:shd w:val="clear" w:color="auto" w:fill="FFFFFF"/>
        </w:rPr>
        <w:t>Republicans and 1 Democrat are not seeking re-election (Rob Portman (R-OH) is the only one in Henrickson’s footprint</w:t>
      </w:r>
      <w:r w:rsidR="002663AA">
        <w:rPr>
          <w:rFonts w:cstheme="minorHAnsi"/>
          <w:color w:val="222222"/>
          <w:shd w:val="clear" w:color="auto" w:fill="FFFFFF"/>
        </w:rPr>
        <w:t xml:space="preserve">. </w:t>
      </w:r>
      <w:r w:rsidR="001915E7">
        <w:rPr>
          <w:rFonts w:cstheme="minorHAnsi"/>
          <w:color w:val="222222"/>
          <w:shd w:val="clear" w:color="auto" w:fill="FFFFFF"/>
        </w:rPr>
        <w:t>AZ, FL, GA, NV, NH, NC, PA, and WI are all considered battleground states and have an active senate midterm</w:t>
      </w:r>
      <w:r w:rsidR="002663AA">
        <w:rPr>
          <w:rFonts w:cstheme="minorHAnsi"/>
          <w:color w:val="222222"/>
          <w:shd w:val="clear" w:color="auto" w:fill="FFFFFF"/>
        </w:rPr>
        <w:t xml:space="preserve">. </w:t>
      </w:r>
      <w:r w:rsidR="005555CE">
        <w:rPr>
          <w:rFonts w:cstheme="minorHAnsi"/>
          <w:color w:val="222222"/>
          <w:shd w:val="clear" w:color="auto" w:fill="FFFFFF"/>
        </w:rPr>
        <w:t>Of the 35 seats up for election in 2022, 21 are already held by Republicans</w:t>
      </w:r>
      <w:r w:rsidR="0025088A">
        <w:rPr>
          <w:rFonts w:cstheme="minorHAnsi"/>
          <w:color w:val="222222"/>
          <w:shd w:val="clear" w:color="auto" w:fill="FFFFFF"/>
        </w:rPr>
        <w:t xml:space="preserve">. </w:t>
      </w:r>
      <w:r w:rsidR="005555CE">
        <w:rPr>
          <w:rFonts w:cstheme="minorHAnsi"/>
          <w:color w:val="222222"/>
          <w:shd w:val="clear" w:color="auto" w:fill="FFFFFF"/>
        </w:rPr>
        <w:t>There are 5 seats considered to be toss-ups – AZ, PA, GA, WI, and NV</w:t>
      </w:r>
      <w:r w:rsidR="0025088A">
        <w:rPr>
          <w:rFonts w:cstheme="minorHAnsi"/>
          <w:color w:val="222222"/>
          <w:shd w:val="clear" w:color="auto" w:fill="FFFFFF"/>
        </w:rPr>
        <w:t xml:space="preserve">. </w:t>
      </w:r>
      <w:r w:rsidR="005555CE">
        <w:rPr>
          <w:rFonts w:cstheme="minorHAnsi"/>
          <w:color w:val="222222"/>
          <w:shd w:val="clear" w:color="auto" w:fill="FFFFFF"/>
        </w:rPr>
        <w:t>AZ is currently held by a Democrat and is expected to be</w:t>
      </w:r>
      <w:r w:rsidR="00DF7FED">
        <w:rPr>
          <w:rFonts w:cstheme="minorHAnsi"/>
          <w:color w:val="222222"/>
          <w:shd w:val="clear" w:color="auto" w:fill="FFFFFF"/>
        </w:rPr>
        <w:t xml:space="preserve"> one of </w:t>
      </w:r>
      <w:r w:rsidR="005555CE">
        <w:rPr>
          <w:rFonts w:cstheme="minorHAnsi"/>
          <w:color w:val="222222"/>
          <w:shd w:val="clear" w:color="auto" w:fill="FFFFFF"/>
        </w:rPr>
        <w:t>the</w:t>
      </w:r>
      <w:r w:rsidR="00DF7FED">
        <w:rPr>
          <w:rFonts w:cstheme="minorHAnsi"/>
          <w:color w:val="222222"/>
          <w:shd w:val="clear" w:color="auto" w:fill="FFFFFF"/>
        </w:rPr>
        <w:t xml:space="preserve"> closest contests</w:t>
      </w:r>
      <w:r w:rsidR="002663AA">
        <w:rPr>
          <w:rFonts w:cstheme="minorHAnsi"/>
          <w:color w:val="222222"/>
          <w:shd w:val="clear" w:color="auto" w:fill="FFFFFF"/>
        </w:rPr>
        <w:t xml:space="preserve">. </w:t>
      </w:r>
      <w:r w:rsidR="00DF7FED">
        <w:rPr>
          <w:rFonts w:cstheme="minorHAnsi"/>
          <w:color w:val="222222"/>
          <w:shd w:val="clear" w:color="auto" w:fill="FFFFFF"/>
        </w:rPr>
        <w:t>PA is replacing a retiring Republican; and both parties have hig</w:t>
      </w:r>
      <w:r w:rsidR="000058F1">
        <w:rPr>
          <w:rFonts w:cstheme="minorHAnsi"/>
          <w:color w:val="222222"/>
          <w:shd w:val="clear" w:color="auto" w:fill="FFFFFF"/>
        </w:rPr>
        <w:t xml:space="preserve">h </w:t>
      </w:r>
      <w:r w:rsidR="00DF7FED">
        <w:rPr>
          <w:rFonts w:cstheme="minorHAnsi"/>
          <w:color w:val="222222"/>
          <w:shd w:val="clear" w:color="auto" w:fill="FFFFFF"/>
        </w:rPr>
        <w:t>name recognition candidates</w:t>
      </w:r>
      <w:r w:rsidR="002663AA">
        <w:rPr>
          <w:rFonts w:cstheme="minorHAnsi"/>
          <w:color w:val="222222"/>
          <w:shd w:val="clear" w:color="auto" w:fill="FFFFFF"/>
        </w:rPr>
        <w:t xml:space="preserve">. </w:t>
      </w:r>
      <w:r w:rsidR="00DF7FED">
        <w:rPr>
          <w:rFonts w:cstheme="minorHAnsi"/>
          <w:color w:val="222222"/>
          <w:shd w:val="clear" w:color="auto" w:fill="FFFFFF"/>
        </w:rPr>
        <w:t>GA</w:t>
      </w:r>
      <w:r w:rsidR="007B3991">
        <w:rPr>
          <w:rFonts w:cstheme="minorHAnsi"/>
          <w:color w:val="222222"/>
          <w:shd w:val="clear" w:color="auto" w:fill="FFFFFF"/>
        </w:rPr>
        <w:t xml:space="preserve"> Democrat is be challenged by ex-football legend Herschel Walker, who continues to gain momentum</w:t>
      </w:r>
      <w:r w:rsidR="002663AA">
        <w:rPr>
          <w:rFonts w:cstheme="minorHAnsi"/>
          <w:color w:val="222222"/>
          <w:shd w:val="clear" w:color="auto" w:fill="FFFFFF"/>
        </w:rPr>
        <w:t xml:space="preserve">. </w:t>
      </w:r>
      <w:r w:rsidR="007B3991">
        <w:rPr>
          <w:rFonts w:cstheme="minorHAnsi"/>
          <w:color w:val="222222"/>
          <w:shd w:val="clear" w:color="auto" w:fill="FFFFFF"/>
        </w:rPr>
        <w:t>WI Republican Ron Johnson is seeking a 3</w:t>
      </w:r>
      <w:r w:rsidR="007B3991" w:rsidRPr="007B3991">
        <w:rPr>
          <w:rFonts w:cstheme="minorHAnsi"/>
          <w:color w:val="222222"/>
          <w:shd w:val="clear" w:color="auto" w:fill="FFFFFF"/>
          <w:vertAlign w:val="superscript"/>
        </w:rPr>
        <w:t>rd</w:t>
      </w:r>
      <w:r w:rsidR="007B3991">
        <w:rPr>
          <w:rFonts w:cstheme="minorHAnsi"/>
          <w:color w:val="222222"/>
          <w:shd w:val="clear" w:color="auto" w:fill="FFFFFF"/>
        </w:rPr>
        <w:t xml:space="preserve"> term, but Biden carried the state in the presidential election</w:t>
      </w:r>
      <w:r w:rsidR="0025088A">
        <w:rPr>
          <w:rFonts w:cstheme="minorHAnsi"/>
          <w:color w:val="222222"/>
          <w:shd w:val="clear" w:color="auto" w:fill="FFFFFF"/>
        </w:rPr>
        <w:t xml:space="preserve">. </w:t>
      </w:r>
      <w:r w:rsidR="000058F1">
        <w:rPr>
          <w:rFonts w:cstheme="minorHAnsi"/>
          <w:color w:val="222222"/>
          <w:shd w:val="clear" w:color="auto" w:fill="FFFFFF"/>
        </w:rPr>
        <w:t xml:space="preserve">NV first term </w:t>
      </w:r>
      <w:r w:rsidR="00DB103F">
        <w:rPr>
          <w:rFonts w:cstheme="minorHAnsi"/>
          <w:color w:val="222222"/>
          <w:shd w:val="clear" w:color="auto" w:fill="FFFFFF"/>
        </w:rPr>
        <w:t>D</w:t>
      </w:r>
      <w:r w:rsidR="000058F1">
        <w:rPr>
          <w:rFonts w:cstheme="minorHAnsi"/>
          <w:color w:val="222222"/>
          <w:shd w:val="clear" w:color="auto" w:fill="FFFFFF"/>
        </w:rPr>
        <w:t>emocrat faces a stiff challenge from the former state’s Attorney General</w:t>
      </w:r>
      <w:r w:rsidR="002663AA">
        <w:rPr>
          <w:rFonts w:cstheme="minorHAnsi"/>
          <w:color w:val="222222"/>
          <w:shd w:val="clear" w:color="auto" w:fill="FFFFFF"/>
        </w:rPr>
        <w:t xml:space="preserve">. </w:t>
      </w:r>
      <w:r w:rsidR="00865D89">
        <w:rPr>
          <w:rFonts w:cstheme="minorHAnsi"/>
          <w:color w:val="222222"/>
          <w:shd w:val="clear" w:color="auto" w:fill="FFFFFF"/>
        </w:rPr>
        <w:t xml:space="preserve">The 5 races in Hendrickson’s footprint are OH, IL, KY, IN, and SD. </w:t>
      </w:r>
      <w:r w:rsidR="00DF5F9F">
        <w:rPr>
          <w:rFonts w:cstheme="minorHAnsi"/>
          <w:color w:val="222222"/>
          <w:shd w:val="clear" w:color="auto" w:fill="FFFFFF"/>
        </w:rPr>
        <w:t>All</w:t>
      </w:r>
      <w:r w:rsidR="00865D89">
        <w:rPr>
          <w:rFonts w:cstheme="minorHAnsi"/>
          <w:color w:val="222222"/>
          <w:shd w:val="clear" w:color="auto" w:fill="FFFFFF"/>
        </w:rPr>
        <w:t xml:space="preserve"> these races lean favorably to the incumbent part</w:t>
      </w:r>
      <w:r w:rsidR="00DF5F9F">
        <w:rPr>
          <w:rFonts w:cstheme="minorHAnsi"/>
          <w:color w:val="222222"/>
          <w:shd w:val="clear" w:color="auto" w:fill="FFFFFF"/>
        </w:rPr>
        <w:t>y</w:t>
      </w:r>
      <w:r w:rsidR="00865D89">
        <w:rPr>
          <w:rFonts w:cstheme="minorHAnsi"/>
          <w:color w:val="222222"/>
          <w:shd w:val="clear" w:color="auto" w:fill="FFFFFF"/>
        </w:rPr>
        <w:t xml:space="preserve">, </w:t>
      </w:r>
      <w:r w:rsidR="00ED428D">
        <w:rPr>
          <w:rFonts w:cstheme="minorHAnsi"/>
          <w:color w:val="222222"/>
          <w:shd w:val="clear" w:color="auto" w:fill="FFFFFF"/>
        </w:rPr>
        <w:t xml:space="preserve">which </w:t>
      </w:r>
      <w:r w:rsidR="0025088A">
        <w:rPr>
          <w:rFonts w:cstheme="minorHAnsi"/>
          <w:color w:val="222222"/>
          <w:shd w:val="clear" w:color="auto" w:fill="FFFFFF"/>
        </w:rPr>
        <w:t>are Republican</w:t>
      </w:r>
      <w:r w:rsidR="00ED428D">
        <w:rPr>
          <w:rFonts w:cstheme="minorHAnsi"/>
          <w:color w:val="222222"/>
          <w:shd w:val="clear" w:color="auto" w:fill="FFFFFF"/>
        </w:rPr>
        <w:t>,</w:t>
      </w:r>
      <w:r w:rsidR="00865D89">
        <w:rPr>
          <w:rFonts w:cstheme="minorHAnsi"/>
          <w:color w:val="222222"/>
          <w:shd w:val="clear" w:color="auto" w:fill="FFFFFF"/>
        </w:rPr>
        <w:t xml:space="preserve"> except IL.</w:t>
      </w:r>
    </w:p>
    <w:p w14:paraId="4EB7A8EE" w14:textId="36A82E18" w:rsidR="00865D89" w:rsidRDefault="00C17213" w:rsidP="009A52D2">
      <w:pPr>
        <w:pStyle w:val="ListParagraph"/>
        <w:numPr>
          <w:ilvl w:val="0"/>
          <w:numId w:val="9"/>
        </w:numPr>
        <w:rPr>
          <w:rFonts w:cstheme="minorHAnsi"/>
        </w:rPr>
      </w:pPr>
      <w:r>
        <w:rPr>
          <w:rFonts w:cstheme="minorHAnsi"/>
        </w:rPr>
        <w:t>All 435 U.S. House seats will be up for election in 2022, with special elections to fill the vacancies that occurred in the 117</w:t>
      </w:r>
      <w:r w:rsidRPr="00C17213">
        <w:rPr>
          <w:rFonts w:cstheme="minorHAnsi"/>
          <w:vertAlign w:val="superscript"/>
        </w:rPr>
        <w:t>th</w:t>
      </w:r>
      <w:r>
        <w:rPr>
          <w:rFonts w:cstheme="minorHAnsi"/>
        </w:rPr>
        <w:t xml:space="preserve"> Congress</w:t>
      </w:r>
      <w:r w:rsidR="002663AA">
        <w:rPr>
          <w:rFonts w:cstheme="minorHAnsi"/>
        </w:rPr>
        <w:t xml:space="preserve">. </w:t>
      </w:r>
      <w:r w:rsidR="00843F4E">
        <w:rPr>
          <w:rFonts w:cstheme="minorHAnsi"/>
        </w:rPr>
        <w:t xml:space="preserve">The current House favors the Democrats by 9 seats, 222 seats vs. 213 seats. </w:t>
      </w:r>
      <w:r w:rsidR="00DA0219">
        <w:rPr>
          <w:rFonts w:cstheme="minorHAnsi"/>
        </w:rPr>
        <w:t xml:space="preserve">48 Representatives are not seeking re-election – 30 Democrats and 18 </w:t>
      </w:r>
      <w:r w:rsidR="00DA0219">
        <w:rPr>
          <w:rFonts w:cstheme="minorHAnsi"/>
        </w:rPr>
        <w:lastRenderedPageBreak/>
        <w:t>Republicans</w:t>
      </w:r>
      <w:r w:rsidR="002663AA">
        <w:rPr>
          <w:rFonts w:cstheme="minorHAnsi"/>
        </w:rPr>
        <w:t xml:space="preserve">. </w:t>
      </w:r>
      <w:r w:rsidR="00DA0219">
        <w:rPr>
          <w:rFonts w:cstheme="minorHAnsi"/>
        </w:rPr>
        <w:t>Bob Gibbs (OH-</w:t>
      </w:r>
      <w:r w:rsidR="00133E30">
        <w:rPr>
          <w:rFonts w:cstheme="minorHAnsi"/>
        </w:rPr>
        <w:t>0</w:t>
      </w:r>
      <w:r w:rsidR="00DA0219">
        <w:rPr>
          <w:rFonts w:cstheme="minorHAnsi"/>
        </w:rPr>
        <w:t xml:space="preserve">7-R), Anthony Gonzalez (OH-16-R), </w:t>
      </w:r>
      <w:r w:rsidR="00133E30">
        <w:rPr>
          <w:rFonts w:cstheme="minorHAnsi"/>
        </w:rPr>
        <w:t xml:space="preserve">and </w:t>
      </w:r>
      <w:r w:rsidR="00DA0219">
        <w:rPr>
          <w:rFonts w:cstheme="minorHAnsi"/>
        </w:rPr>
        <w:t>Van Taylor (TX-03</w:t>
      </w:r>
      <w:r w:rsidR="00133E30">
        <w:rPr>
          <w:rFonts w:cstheme="minorHAnsi"/>
        </w:rPr>
        <w:t>-R)</w:t>
      </w:r>
      <w:r w:rsidR="00ED428D">
        <w:rPr>
          <w:rFonts w:cstheme="minorHAnsi"/>
        </w:rPr>
        <w:t>, all within the Hendrickson footprint,</w:t>
      </w:r>
      <w:r w:rsidR="00133E30">
        <w:rPr>
          <w:rFonts w:cstheme="minorHAnsi"/>
        </w:rPr>
        <w:t xml:space="preserve"> are retiring</w:t>
      </w:r>
      <w:r w:rsidR="002663AA">
        <w:rPr>
          <w:rFonts w:cstheme="minorHAnsi"/>
        </w:rPr>
        <w:t xml:space="preserve">. </w:t>
      </w:r>
      <w:r w:rsidR="00F44BE7">
        <w:rPr>
          <w:rFonts w:cstheme="minorHAnsi"/>
        </w:rPr>
        <w:t>Redistricting has changed the playing field significantly</w:t>
      </w:r>
      <w:r w:rsidR="002663AA">
        <w:rPr>
          <w:rFonts w:cstheme="minorHAnsi"/>
        </w:rPr>
        <w:t xml:space="preserve">. </w:t>
      </w:r>
      <w:r w:rsidR="00F44BE7">
        <w:rPr>
          <w:rFonts w:cstheme="minorHAnsi"/>
        </w:rPr>
        <w:t>At the beginning of April, 365 of the 435 seats have had the redistricting completed</w:t>
      </w:r>
      <w:r w:rsidR="002663AA">
        <w:rPr>
          <w:rFonts w:cstheme="minorHAnsi"/>
        </w:rPr>
        <w:t xml:space="preserve">. </w:t>
      </w:r>
      <w:r w:rsidR="0072274C">
        <w:rPr>
          <w:rFonts w:cstheme="minorHAnsi"/>
        </w:rPr>
        <w:t>Currently</w:t>
      </w:r>
      <w:r w:rsidR="00ED428D">
        <w:rPr>
          <w:rFonts w:cstheme="minorHAnsi"/>
        </w:rPr>
        <w:t>,</w:t>
      </w:r>
      <w:r w:rsidR="0072274C">
        <w:rPr>
          <w:rFonts w:cstheme="minorHAnsi"/>
        </w:rPr>
        <w:t xml:space="preserve"> 24 seats are considered a toss-up and 38 seats have not been rated due to redistricting. All popular prognostication leans firmly toward the Republicans taking the House.</w:t>
      </w:r>
    </w:p>
    <w:p w14:paraId="696BCAC0" w14:textId="7D89DB72" w:rsidR="00933AB4" w:rsidRPr="00757050" w:rsidRDefault="00933AB4" w:rsidP="009A52D2">
      <w:pPr>
        <w:pStyle w:val="ListParagraph"/>
        <w:numPr>
          <w:ilvl w:val="0"/>
          <w:numId w:val="9"/>
        </w:numPr>
        <w:rPr>
          <w:rFonts w:cstheme="minorHAnsi"/>
        </w:rPr>
      </w:pPr>
      <w:r>
        <w:rPr>
          <w:rFonts w:cstheme="minorHAnsi"/>
        </w:rPr>
        <w:t>In the quarters to come, details for the battleground states/districts and Hendrickson footprint candidates will be monitored and shared.</w:t>
      </w:r>
    </w:p>
    <w:p w14:paraId="13FD4313" w14:textId="54523082" w:rsidR="00FD1128" w:rsidRPr="00FD1128" w:rsidRDefault="00FD1128" w:rsidP="00FD1128">
      <w:pPr>
        <w:rPr>
          <w:b/>
          <w:bCs/>
          <w:u w:val="single"/>
        </w:rPr>
      </w:pPr>
      <w:r w:rsidRPr="00FD1128">
        <w:rPr>
          <w:b/>
          <w:bCs/>
          <w:u w:val="single"/>
        </w:rPr>
        <w:t>Issues Targeted by [H]</w:t>
      </w:r>
    </w:p>
    <w:p w14:paraId="701BE116" w14:textId="5C1466FC" w:rsidR="00FD1128" w:rsidRPr="00FD1128" w:rsidRDefault="00FD1128" w:rsidP="00FD1128">
      <w:pPr>
        <w:rPr>
          <w:b/>
          <w:bCs/>
        </w:rPr>
      </w:pPr>
      <w:r w:rsidRPr="00FD1128">
        <w:rPr>
          <w:b/>
          <w:bCs/>
        </w:rPr>
        <w:t>91K GVW on 6 Axles</w:t>
      </w:r>
    </w:p>
    <w:p w14:paraId="15BFB521" w14:textId="6D7A27DF" w:rsidR="00FD1128" w:rsidRDefault="00E877FE" w:rsidP="00FD1128">
      <w:pPr>
        <w:pStyle w:val="ListParagraph"/>
        <w:numPr>
          <w:ilvl w:val="0"/>
          <w:numId w:val="6"/>
        </w:numPr>
      </w:pPr>
      <w:r>
        <w:t xml:space="preserve">Through the SHIP Coalition, efforts continue by reaching out to various </w:t>
      </w:r>
      <w:r w:rsidR="00CA238F">
        <w:t>Congresspeople</w:t>
      </w:r>
      <w:r>
        <w:t xml:space="preserve">, government agencies, and vested </w:t>
      </w:r>
      <w:r w:rsidR="003063F7">
        <w:t>associations regarding the benefits and scope of a 6-axle 91K GVW pilot program</w:t>
      </w:r>
      <w:r w:rsidR="00CA238F">
        <w:t xml:space="preserve">. </w:t>
      </w:r>
      <w:r w:rsidR="00EB6133">
        <w:t xml:space="preserve">Exploration of other legislative efforts like the FREIGHT Act or DRIVE Safe Act are being </w:t>
      </w:r>
      <w:r w:rsidR="007651B8">
        <w:t>vetted for a</w:t>
      </w:r>
      <w:r w:rsidR="00EB6133">
        <w:t xml:space="preserve"> means to attach the SHIP pilot program</w:t>
      </w:r>
      <w:r w:rsidR="007651B8">
        <w:t>.</w:t>
      </w:r>
    </w:p>
    <w:p w14:paraId="4C599D1E" w14:textId="77777777" w:rsidR="008F2871" w:rsidRDefault="008F2871" w:rsidP="008F2871">
      <w:pPr>
        <w:pStyle w:val="ListParagraph"/>
        <w:numPr>
          <w:ilvl w:val="0"/>
          <w:numId w:val="6"/>
        </w:numPr>
      </w:pPr>
      <w:r>
        <w:t>An informational meeting for the Ohio Trucking Association will be set up for interested members to learn about SHIP’s initiative. OTA expressed interest in the higher GVW efforts, as many of the members could take advantage of an increased GVW. Pending the outcome of the OTA session, other state trucking associations may be targeted for meetings.</w:t>
      </w:r>
    </w:p>
    <w:p w14:paraId="247973DC" w14:textId="096EF555" w:rsidR="008F2871" w:rsidRDefault="008F2871" w:rsidP="00FD1128">
      <w:pPr>
        <w:pStyle w:val="ListParagraph"/>
        <w:numPr>
          <w:ilvl w:val="0"/>
          <w:numId w:val="6"/>
        </w:numPr>
      </w:pPr>
      <w:r>
        <w:t>SHIP coalition letter to FHWA respon</w:t>
      </w:r>
      <w:r w:rsidR="00046EDA">
        <w:t>ding to a</w:t>
      </w:r>
      <w:r>
        <w:t xml:space="preserve"> </w:t>
      </w:r>
      <w:r w:rsidR="00046EDA">
        <w:t>request for</w:t>
      </w:r>
      <w:r>
        <w:t xml:space="preserve"> comments on the implementation of the Infrastructure and Jobs Act. The letter outlines the </w:t>
      </w:r>
      <w:r w:rsidR="00046EDA">
        <w:t xml:space="preserve">SHIP </w:t>
      </w:r>
      <w:r>
        <w:t>pilot program, justification for the program</w:t>
      </w:r>
      <w:r w:rsidR="00ED428D">
        <w:t xml:space="preserve"> along with t</w:t>
      </w:r>
      <w:r>
        <w:t>he benefits</w:t>
      </w:r>
      <w:r w:rsidR="00046EDA">
        <w:t>, which clearly addresses the supply chain issues.</w:t>
      </w:r>
    </w:p>
    <w:p w14:paraId="5761392E" w14:textId="021B77D3" w:rsidR="00046EDA" w:rsidRDefault="008641A5" w:rsidP="00A44F2E">
      <w:pPr>
        <w:pStyle w:val="ListParagraph"/>
        <w:numPr>
          <w:ilvl w:val="0"/>
          <w:numId w:val="6"/>
        </w:numPr>
      </w:pPr>
      <w:r>
        <w:t xml:space="preserve">Need to conduct </w:t>
      </w:r>
      <w:r w:rsidR="00512C45">
        <w:t xml:space="preserve">proving ground </w:t>
      </w:r>
      <w:r>
        <w:t>test</w:t>
      </w:r>
      <w:r w:rsidR="00512C45">
        <w:t>s</w:t>
      </w:r>
      <w:r>
        <w:t xml:space="preserve"> to compare stopping distance between 5-axle 80K GVW vs. 6-axle 91K GVW. Testing needs to be incorporated into company’s testing plan/budget.</w:t>
      </w:r>
    </w:p>
    <w:p w14:paraId="1424057C" w14:textId="4637633C" w:rsidR="00FD1128" w:rsidRPr="00FD1128" w:rsidRDefault="00FD1128" w:rsidP="00FD1128">
      <w:pPr>
        <w:rPr>
          <w:b/>
          <w:bCs/>
        </w:rPr>
      </w:pPr>
      <w:r w:rsidRPr="00FD1128">
        <w:rPr>
          <w:b/>
          <w:bCs/>
        </w:rPr>
        <w:t>LBTIS Stopping Distance</w:t>
      </w:r>
    </w:p>
    <w:p w14:paraId="31BE3567" w14:textId="27B96582" w:rsidR="00C5278B" w:rsidRDefault="008641A5" w:rsidP="00FD1128">
      <w:pPr>
        <w:pStyle w:val="ListParagraph"/>
        <w:numPr>
          <w:ilvl w:val="0"/>
          <w:numId w:val="6"/>
        </w:numPr>
      </w:pPr>
      <w:r>
        <w:t>Need to c</w:t>
      </w:r>
      <w:r w:rsidR="00C5278B">
        <w:t xml:space="preserve">onduct </w:t>
      </w:r>
      <w:r w:rsidR="00512C45">
        <w:t xml:space="preserve">proving ground </w:t>
      </w:r>
      <w:r w:rsidR="00C5278B">
        <w:t>tests to compare stopping distance between properly inflated tires vs. over and under inflated tires</w:t>
      </w:r>
      <w:r w:rsidR="00D21FFA">
        <w:t xml:space="preserve">. </w:t>
      </w:r>
      <w:r w:rsidR="00F358D7">
        <w:t>Testing needs to be incorporated into company’s testing plan/budget.</w:t>
      </w:r>
    </w:p>
    <w:p w14:paraId="5B36E0E3" w14:textId="294C0596" w:rsidR="006E24B8" w:rsidRDefault="00C911D8" w:rsidP="00FD1128">
      <w:pPr>
        <w:pStyle w:val="ListParagraph"/>
        <w:numPr>
          <w:ilvl w:val="0"/>
          <w:numId w:val="6"/>
        </w:numPr>
      </w:pPr>
      <w:r>
        <w:t xml:space="preserve">Monitoring </w:t>
      </w:r>
      <w:r w:rsidR="006E24B8">
        <w:t xml:space="preserve">activity on HR 4810 Steer Act, </w:t>
      </w:r>
      <w:r>
        <w:t xml:space="preserve">which </w:t>
      </w:r>
      <w:r w:rsidR="006E24B8">
        <w:t>provides incentives to utilize emission reducing technologies</w:t>
      </w:r>
      <w:r w:rsidR="00C117B3">
        <w:t xml:space="preserve"> – no </w:t>
      </w:r>
      <w:r w:rsidR="002663AA">
        <w:t>added information</w:t>
      </w:r>
      <w:r w:rsidR="00C117B3">
        <w:t>.</w:t>
      </w:r>
    </w:p>
    <w:p w14:paraId="73D6BCE8" w14:textId="44BDD5A3" w:rsidR="00B2401C" w:rsidRPr="00B2401C" w:rsidRDefault="00B2401C" w:rsidP="00B2401C">
      <w:pPr>
        <w:rPr>
          <w:b/>
          <w:bCs/>
          <w:u w:val="single"/>
        </w:rPr>
      </w:pPr>
      <w:r w:rsidRPr="00B2401C">
        <w:rPr>
          <w:b/>
          <w:bCs/>
          <w:u w:val="single"/>
        </w:rPr>
        <w:t>Military Contract Issues</w:t>
      </w:r>
    </w:p>
    <w:p w14:paraId="41B9B504" w14:textId="0D4359D8" w:rsidR="00B2401C" w:rsidRPr="00B2401C" w:rsidRDefault="00B2401C" w:rsidP="00B2401C">
      <w:pPr>
        <w:rPr>
          <w:b/>
          <w:bCs/>
        </w:rPr>
      </w:pPr>
      <w:r w:rsidRPr="00B2401C">
        <w:rPr>
          <w:b/>
          <w:bCs/>
        </w:rPr>
        <w:t>Mack M917A3</w:t>
      </w:r>
    </w:p>
    <w:p w14:paraId="7E126DB1" w14:textId="206BC425" w:rsidR="00C117B3" w:rsidRDefault="00C117B3" w:rsidP="00B2401C">
      <w:pPr>
        <w:pStyle w:val="ListParagraph"/>
        <w:numPr>
          <w:ilvl w:val="0"/>
          <w:numId w:val="6"/>
        </w:numPr>
      </w:pPr>
      <w:r>
        <w:t>The</w:t>
      </w:r>
      <w:r w:rsidR="0031355B">
        <w:t xml:space="preserve"> Mack Truck led</w:t>
      </w:r>
      <w:r>
        <w:t xml:space="preserve"> fly-in efforts to get additional funding for </w:t>
      </w:r>
      <w:r w:rsidR="0031355B">
        <w:t>fiscal year 2022 paid off</w:t>
      </w:r>
      <w:r w:rsidR="002663AA">
        <w:t xml:space="preserve">. </w:t>
      </w:r>
      <w:r w:rsidR="0031355B">
        <w:t>The funding short fall was filled and will allow for completion of 60 vehicles.</w:t>
      </w:r>
      <w:r>
        <w:t xml:space="preserve"> </w:t>
      </w:r>
    </w:p>
    <w:p w14:paraId="235DF5F4" w14:textId="7934DD4B" w:rsidR="00B2401C" w:rsidRDefault="006242C1" w:rsidP="00B2401C">
      <w:pPr>
        <w:pStyle w:val="ListParagraph"/>
        <w:numPr>
          <w:ilvl w:val="0"/>
          <w:numId w:val="6"/>
        </w:numPr>
      </w:pPr>
      <w:r>
        <w:t>Mack Truck has the lead in the advocacy efforts</w:t>
      </w:r>
      <w:r w:rsidR="0031355B">
        <w:t xml:space="preserve"> </w:t>
      </w:r>
      <w:r w:rsidR="00D60E34">
        <w:t>for ensuring that the 2023 budget funds the M917A3 properly</w:t>
      </w:r>
      <w:r w:rsidR="00D21FFA">
        <w:t xml:space="preserve">. </w:t>
      </w:r>
      <w:r>
        <w:t xml:space="preserve">Participated in a </w:t>
      </w:r>
      <w:r w:rsidR="00D60E34">
        <w:t>zoom call</w:t>
      </w:r>
      <w:r>
        <w:t xml:space="preserve"> with </w:t>
      </w:r>
      <w:r w:rsidR="00A05A43">
        <w:t>all</w:t>
      </w:r>
      <w:r w:rsidR="00C117B3">
        <w:t xml:space="preserve"> our Congressional footprint </w:t>
      </w:r>
      <w:r>
        <w:t>office</w:t>
      </w:r>
      <w:r w:rsidR="00C117B3">
        <w:t>s to request funding for fi</w:t>
      </w:r>
      <w:r w:rsidR="0031355B">
        <w:t>s</w:t>
      </w:r>
      <w:r w:rsidR="00C117B3">
        <w:t>cal year 2023</w:t>
      </w:r>
      <w:r w:rsidR="0025088A">
        <w:t xml:space="preserve">. </w:t>
      </w:r>
      <w:r w:rsidR="00D60E34">
        <w:t>Filed the necessary FY2023 Military Appropriations requests with our congressional offices.</w:t>
      </w:r>
      <w:r w:rsidR="00C117B3">
        <w:t xml:space="preserve"> </w:t>
      </w:r>
    </w:p>
    <w:sectPr w:rsidR="00B24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4CA"/>
    <w:multiLevelType w:val="hybridMultilevel"/>
    <w:tmpl w:val="EF8C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53EA5"/>
    <w:multiLevelType w:val="hybridMultilevel"/>
    <w:tmpl w:val="E8B8A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917883"/>
    <w:multiLevelType w:val="hybridMultilevel"/>
    <w:tmpl w:val="D8A4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906C1"/>
    <w:multiLevelType w:val="hybridMultilevel"/>
    <w:tmpl w:val="757E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3160E"/>
    <w:multiLevelType w:val="hybridMultilevel"/>
    <w:tmpl w:val="943AF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450C1"/>
    <w:multiLevelType w:val="hybridMultilevel"/>
    <w:tmpl w:val="DA14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72C9F"/>
    <w:multiLevelType w:val="hybridMultilevel"/>
    <w:tmpl w:val="64FC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46402"/>
    <w:multiLevelType w:val="hybridMultilevel"/>
    <w:tmpl w:val="CD0C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F507B"/>
    <w:multiLevelType w:val="hybridMultilevel"/>
    <w:tmpl w:val="99D6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73B75"/>
    <w:multiLevelType w:val="hybridMultilevel"/>
    <w:tmpl w:val="4BC8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007F6A"/>
    <w:multiLevelType w:val="hybridMultilevel"/>
    <w:tmpl w:val="92AC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116008">
    <w:abstractNumId w:val="2"/>
  </w:num>
  <w:num w:numId="2" w16cid:durableId="585262157">
    <w:abstractNumId w:val="8"/>
  </w:num>
  <w:num w:numId="3" w16cid:durableId="437682096">
    <w:abstractNumId w:val="0"/>
  </w:num>
  <w:num w:numId="4" w16cid:durableId="1419256281">
    <w:abstractNumId w:val="10"/>
  </w:num>
  <w:num w:numId="5" w16cid:durableId="698897665">
    <w:abstractNumId w:val="7"/>
  </w:num>
  <w:num w:numId="6" w16cid:durableId="1701932514">
    <w:abstractNumId w:val="6"/>
  </w:num>
  <w:num w:numId="7" w16cid:durableId="96364758">
    <w:abstractNumId w:val="3"/>
  </w:num>
  <w:num w:numId="8" w16cid:durableId="5329048">
    <w:abstractNumId w:val="1"/>
  </w:num>
  <w:num w:numId="9" w16cid:durableId="1531072240">
    <w:abstractNumId w:val="5"/>
  </w:num>
  <w:num w:numId="10" w16cid:durableId="1677220999">
    <w:abstractNumId w:val="9"/>
  </w:num>
  <w:num w:numId="11" w16cid:durableId="1210536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702A8"/>
    <w:rsid w:val="000058F1"/>
    <w:rsid w:val="00046EDA"/>
    <w:rsid w:val="00046F1D"/>
    <w:rsid w:val="00065AC1"/>
    <w:rsid w:val="000857FE"/>
    <w:rsid w:val="000C13C9"/>
    <w:rsid w:val="000C4CE7"/>
    <w:rsid w:val="000D42C0"/>
    <w:rsid w:val="000D6974"/>
    <w:rsid w:val="0010091A"/>
    <w:rsid w:val="00116EB1"/>
    <w:rsid w:val="00133E30"/>
    <w:rsid w:val="00142973"/>
    <w:rsid w:val="00154A41"/>
    <w:rsid w:val="00156D7A"/>
    <w:rsid w:val="00187707"/>
    <w:rsid w:val="001915E7"/>
    <w:rsid w:val="001A629B"/>
    <w:rsid w:val="00237017"/>
    <w:rsid w:val="00243429"/>
    <w:rsid w:val="0025088A"/>
    <w:rsid w:val="002663AA"/>
    <w:rsid w:val="00271252"/>
    <w:rsid w:val="00281733"/>
    <w:rsid w:val="002A2F07"/>
    <w:rsid w:val="002C1753"/>
    <w:rsid w:val="003063F7"/>
    <w:rsid w:val="0031355B"/>
    <w:rsid w:val="003473BF"/>
    <w:rsid w:val="0037053E"/>
    <w:rsid w:val="00377CCB"/>
    <w:rsid w:val="00382982"/>
    <w:rsid w:val="0039456E"/>
    <w:rsid w:val="00395E4B"/>
    <w:rsid w:val="003C056D"/>
    <w:rsid w:val="0040125B"/>
    <w:rsid w:val="0040561F"/>
    <w:rsid w:val="0041362D"/>
    <w:rsid w:val="00422373"/>
    <w:rsid w:val="00453B3B"/>
    <w:rsid w:val="004702A8"/>
    <w:rsid w:val="004911E2"/>
    <w:rsid w:val="00492827"/>
    <w:rsid w:val="00497E1F"/>
    <w:rsid w:val="004B5303"/>
    <w:rsid w:val="004E1EFC"/>
    <w:rsid w:val="004F08F5"/>
    <w:rsid w:val="00512C45"/>
    <w:rsid w:val="0054202B"/>
    <w:rsid w:val="00544BC6"/>
    <w:rsid w:val="005555CE"/>
    <w:rsid w:val="005A3099"/>
    <w:rsid w:val="005D3180"/>
    <w:rsid w:val="005D614C"/>
    <w:rsid w:val="006067FF"/>
    <w:rsid w:val="006103BD"/>
    <w:rsid w:val="00623022"/>
    <w:rsid w:val="006242C1"/>
    <w:rsid w:val="00646845"/>
    <w:rsid w:val="0069015D"/>
    <w:rsid w:val="00691AA2"/>
    <w:rsid w:val="00693D00"/>
    <w:rsid w:val="006B2006"/>
    <w:rsid w:val="006C45FE"/>
    <w:rsid w:val="006E24B8"/>
    <w:rsid w:val="006E403D"/>
    <w:rsid w:val="006F13FE"/>
    <w:rsid w:val="007173F8"/>
    <w:rsid w:val="0072274C"/>
    <w:rsid w:val="00751B46"/>
    <w:rsid w:val="00757050"/>
    <w:rsid w:val="00764BDC"/>
    <w:rsid w:val="007651B8"/>
    <w:rsid w:val="00787345"/>
    <w:rsid w:val="00796E59"/>
    <w:rsid w:val="007A725B"/>
    <w:rsid w:val="007B3991"/>
    <w:rsid w:val="008123A9"/>
    <w:rsid w:val="00816D12"/>
    <w:rsid w:val="00843F4E"/>
    <w:rsid w:val="008458B9"/>
    <w:rsid w:val="008641A5"/>
    <w:rsid w:val="00865D89"/>
    <w:rsid w:val="00871049"/>
    <w:rsid w:val="008A0CA6"/>
    <w:rsid w:val="008F2871"/>
    <w:rsid w:val="0092606D"/>
    <w:rsid w:val="00933AB4"/>
    <w:rsid w:val="00933EC7"/>
    <w:rsid w:val="009550DA"/>
    <w:rsid w:val="00960DBD"/>
    <w:rsid w:val="009A21F4"/>
    <w:rsid w:val="009A52D2"/>
    <w:rsid w:val="00A05A43"/>
    <w:rsid w:val="00A05C97"/>
    <w:rsid w:val="00A12404"/>
    <w:rsid w:val="00A2274B"/>
    <w:rsid w:val="00A51E93"/>
    <w:rsid w:val="00A837C9"/>
    <w:rsid w:val="00AC0C13"/>
    <w:rsid w:val="00AC234B"/>
    <w:rsid w:val="00AE0DB4"/>
    <w:rsid w:val="00B2401C"/>
    <w:rsid w:val="00B51894"/>
    <w:rsid w:val="00B76E79"/>
    <w:rsid w:val="00BD6F92"/>
    <w:rsid w:val="00BE24DA"/>
    <w:rsid w:val="00BF4213"/>
    <w:rsid w:val="00C117B3"/>
    <w:rsid w:val="00C135F4"/>
    <w:rsid w:val="00C17213"/>
    <w:rsid w:val="00C469F8"/>
    <w:rsid w:val="00C5278B"/>
    <w:rsid w:val="00C55297"/>
    <w:rsid w:val="00C56290"/>
    <w:rsid w:val="00C70CD2"/>
    <w:rsid w:val="00C75073"/>
    <w:rsid w:val="00C911D8"/>
    <w:rsid w:val="00CA238F"/>
    <w:rsid w:val="00CD5E8B"/>
    <w:rsid w:val="00D07E59"/>
    <w:rsid w:val="00D1785D"/>
    <w:rsid w:val="00D21FFA"/>
    <w:rsid w:val="00D60E34"/>
    <w:rsid w:val="00DA0219"/>
    <w:rsid w:val="00DB103F"/>
    <w:rsid w:val="00DD520D"/>
    <w:rsid w:val="00DF3535"/>
    <w:rsid w:val="00DF3D22"/>
    <w:rsid w:val="00DF5F9F"/>
    <w:rsid w:val="00DF7FED"/>
    <w:rsid w:val="00E023E5"/>
    <w:rsid w:val="00E45B57"/>
    <w:rsid w:val="00E81A97"/>
    <w:rsid w:val="00E877FE"/>
    <w:rsid w:val="00E87F50"/>
    <w:rsid w:val="00EA7EB0"/>
    <w:rsid w:val="00EB6133"/>
    <w:rsid w:val="00ED428D"/>
    <w:rsid w:val="00F01C75"/>
    <w:rsid w:val="00F358D7"/>
    <w:rsid w:val="00F44BE7"/>
    <w:rsid w:val="00F841A0"/>
    <w:rsid w:val="00F845FB"/>
    <w:rsid w:val="00FA0C25"/>
    <w:rsid w:val="00FA1DB8"/>
    <w:rsid w:val="00FB6A41"/>
    <w:rsid w:val="00FD1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9079"/>
  <w15:docId w15:val="{52AFE4B0-BBE9-466F-8427-51E52E36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2A8"/>
    <w:pPr>
      <w:ind w:left="720"/>
      <w:contextualSpacing/>
    </w:pPr>
  </w:style>
  <w:style w:type="character" w:styleId="Hyperlink">
    <w:name w:val="Hyperlink"/>
    <w:basedOn w:val="DefaultParagraphFont"/>
    <w:uiPriority w:val="99"/>
    <w:semiHidden/>
    <w:unhideWhenUsed/>
    <w:rsid w:val="000C4C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523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gress.gov/bill/117th-congress/house-bill/84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1762</TotalTime>
  <Pages>3</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Gottschalk, Mike</dc:creator>
  <cp:keywords/>
  <dc:description/>
  <cp:lastModifiedBy>Gottschalk, Mike</cp:lastModifiedBy>
  <cp:revision>29</cp:revision>
  <cp:lastPrinted>2022-04-25T13:27:00Z</cp:lastPrinted>
  <dcterms:created xsi:type="dcterms:W3CDTF">2022-04-06T12:48:00Z</dcterms:created>
  <dcterms:modified xsi:type="dcterms:W3CDTF">2022-04-25T14:51:00Z</dcterms:modified>
</cp:coreProperties>
</file>